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FED6" w14:textId="77777777" w:rsidR="002A1BC8" w:rsidRPr="00E67E55" w:rsidRDefault="002A1BC8" w:rsidP="002A1BC8">
      <w:pPr>
        <w:jc w:val="center"/>
        <w:rPr>
          <w:b/>
          <w:sz w:val="28"/>
          <w:szCs w:val="28"/>
        </w:rPr>
      </w:pPr>
      <w:r w:rsidRPr="00E67E55">
        <w:rPr>
          <w:b/>
          <w:sz w:val="28"/>
          <w:szCs w:val="28"/>
        </w:rPr>
        <w:t xml:space="preserve">PHỤ LỤC </w:t>
      </w:r>
    </w:p>
    <w:p w14:paraId="41DA2C7C" w14:textId="3553ACE2" w:rsidR="002A1BC8" w:rsidRPr="00E67E55" w:rsidRDefault="002A1BC8" w:rsidP="002A1BC8">
      <w:pPr>
        <w:jc w:val="center"/>
        <w:rPr>
          <w:b/>
          <w:sz w:val="28"/>
          <w:szCs w:val="28"/>
        </w:rPr>
      </w:pPr>
      <w:r w:rsidRPr="00E67E55">
        <w:rPr>
          <w:b/>
          <w:sz w:val="28"/>
          <w:szCs w:val="28"/>
        </w:rPr>
        <w:t xml:space="preserve">DANH MỤC THỦ TỤC HÀNH CHÍNH </w:t>
      </w:r>
      <w:r w:rsidR="00CC5D0E">
        <w:rPr>
          <w:b/>
          <w:sz w:val="28"/>
          <w:szCs w:val="28"/>
        </w:rPr>
        <w:t>ĐƯỢC SỬA ĐỔI, BỔ SUNG</w:t>
      </w:r>
      <w:r w:rsidRPr="00E67E55">
        <w:rPr>
          <w:b/>
          <w:sz w:val="28"/>
          <w:szCs w:val="28"/>
        </w:rPr>
        <w:t xml:space="preserve"> TRONG LĨNH VỰC </w:t>
      </w:r>
      <w:r w:rsidR="00614DF8">
        <w:rPr>
          <w:b/>
          <w:sz w:val="28"/>
          <w:szCs w:val="28"/>
        </w:rPr>
        <w:t>THÚ Y</w:t>
      </w:r>
      <w:r w:rsidRPr="00E67E55">
        <w:rPr>
          <w:b/>
          <w:sz w:val="28"/>
          <w:szCs w:val="28"/>
        </w:rPr>
        <w:t xml:space="preserve"> THUỘC THẨM QUYỀN </w:t>
      </w:r>
      <w:r w:rsidR="00FA71CA">
        <w:rPr>
          <w:b/>
          <w:sz w:val="28"/>
          <w:szCs w:val="28"/>
        </w:rPr>
        <w:t>QUẢN LÝ</w:t>
      </w:r>
      <w:r w:rsidRPr="00E67E55">
        <w:rPr>
          <w:b/>
          <w:sz w:val="28"/>
          <w:szCs w:val="28"/>
        </w:rPr>
        <w:t xml:space="preserve"> CỦA NGÀNH </w:t>
      </w:r>
      <w:r w:rsidR="00FA71CA">
        <w:rPr>
          <w:b/>
          <w:sz w:val="28"/>
          <w:szCs w:val="28"/>
        </w:rPr>
        <w:t xml:space="preserve">NÔNG NGHIỆP VÀ PTNT </w:t>
      </w:r>
      <w:r w:rsidRPr="00E67E55">
        <w:rPr>
          <w:b/>
          <w:sz w:val="28"/>
          <w:szCs w:val="28"/>
        </w:rPr>
        <w:t xml:space="preserve">TỈNH TÂY NINH </w:t>
      </w:r>
    </w:p>
    <w:p w14:paraId="69E97B98" w14:textId="6185F8C2" w:rsidR="002A1BC8" w:rsidRDefault="00BE562E" w:rsidP="002A1BC8">
      <w:pPr>
        <w:jc w:val="center"/>
        <w:rPr>
          <w:b/>
          <w:bCs/>
          <w:color w:val="000000"/>
          <w:szCs w:val="28"/>
        </w:rPr>
      </w:pPr>
      <w:r>
        <w:rPr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43241F" wp14:editId="2AB7A01B">
                <wp:simplePos x="0" y="0"/>
                <wp:positionH relativeFrom="column">
                  <wp:posOffset>3749040</wp:posOffset>
                </wp:positionH>
                <wp:positionV relativeFrom="paragraph">
                  <wp:posOffset>102870</wp:posOffset>
                </wp:positionV>
                <wp:extent cx="14859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B6F7E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5.2pt;margin-top:8.1pt;width:11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"/>
            </w:pict>
          </mc:Fallback>
        </mc:AlternateContent>
      </w:r>
    </w:p>
    <w:p w14:paraId="3D375B4C" w14:textId="77777777" w:rsidR="002A1BC8" w:rsidRPr="006F3F4A" w:rsidRDefault="002A1BC8" w:rsidP="00973D4A">
      <w:pPr>
        <w:spacing w:before="240" w:after="120"/>
        <w:jc w:val="both"/>
        <w:rPr>
          <w:b/>
          <w:bCs/>
          <w:color w:val="000000"/>
          <w:sz w:val="28"/>
          <w:szCs w:val="28"/>
        </w:rPr>
      </w:pPr>
      <w:r w:rsidRPr="006F3F4A">
        <w:rPr>
          <w:b/>
          <w:bCs/>
          <w:color w:val="000000"/>
          <w:sz w:val="28"/>
          <w:szCs w:val="28"/>
        </w:rPr>
        <w:t>A. THỦ TỤC HÀNH CHÍNH CẤP TỈNH</w:t>
      </w:r>
    </w:p>
    <w:tbl>
      <w:tblPr>
        <w:tblW w:w="153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335"/>
        <w:gridCol w:w="1650"/>
        <w:gridCol w:w="802"/>
        <w:gridCol w:w="2268"/>
        <w:gridCol w:w="1843"/>
        <w:gridCol w:w="1858"/>
        <w:gridCol w:w="1016"/>
        <w:gridCol w:w="2841"/>
      </w:tblGrid>
      <w:tr w:rsidR="00731766" w:rsidRPr="002E7A82" w14:paraId="334F84E9" w14:textId="77777777" w:rsidTr="00EE6D8A">
        <w:trPr>
          <w:trHeight w:val="634"/>
          <w:tblHeader/>
        </w:trPr>
        <w:tc>
          <w:tcPr>
            <w:tcW w:w="742" w:type="dxa"/>
            <w:vAlign w:val="center"/>
          </w:tcPr>
          <w:p w14:paraId="0FB64DBA" w14:textId="77777777" w:rsidR="00CC5D0E" w:rsidRPr="00E12DD2" w:rsidRDefault="00CC5D0E" w:rsidP="00CC5D0E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bookmarkStart w:id="0" w:name="_Hlk165624583"/>
            <w:r w:rsidRPr="00E12DD2">
              <w:rPr>
                <w:b/>
                <w:bCs/>
                <w:color w:val="000000"/>
              </w:rPr>
              <w:t>STT</w:t>
            </w:r>
          </w:p>
        </w:tc>
        <w:tc>
          <w:tcPr>
            <w:tcW w:w="2335" w:type="dxa"/>
            <w:vAlign w:val="center"/>
          </w:tcPr>
          <w:p w14:paraId="5FD08740" w14:textId="77777777" w:rsidR="00CC5D0E" w:rsidRPr="00E12DD2" w:rsidRDefault="00CC5D0E" w:rsidP="00CC5D0E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12DD2">
              <w:rPr>
                <w:b/>
                <w:bCs/>
                <w:color w:val="000000"/>
              </w:rPr>
              <w:t>Tên thủ tục hành chính</w:t>
            </w:r>
          </w:p>
        </w:tc>
        <w:tc>
          <w:tcPr>
            <w:tcW w:w="1650" w:type="dxa"/>
            <w:vAlign w:val="center"/>
          </w:tcPr>
          <w:p w14:paraId="5DE1824E" w14:textId="77777777" w:rsidR="00CC5D0E" w:rsidRPr="00E12DD2" w:rsidRDefault="00CC5D0E" w:rsidP="00CC5D0E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12DD2">
              <w:rPr>
                <w:b/>
                <w:bCs/>
                <w:color w:val="000000"/>
              </w:rPr>
              <w:t>Mã TTHC</w:t>
            </w:r>
          </w:p>
        </w:tc>
        <w:tc>
          <w:tcPr>
            <w:tcW w:w="802" w:type="dxa"/>
            <w:vAlign w:val="center"/>
          </w:tcPr>
          <w:p w14:paraId="2F50E54B" w14:textId="77777777" w:rsidR="00CC5D0E" w:rsidRPr="00E12DD2" w:rsidRDefault="00CC5D0E" w:rsidP="00CC5D0E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12DD2">
              <w:rPr>
                <w:b/>
                <w:bCs/>
                <w:color w:val="000000"/>
              </w:rPr>
              <w:t>Lĩnh vực</w:t>
            </w:r>
          </w:p>
        </w:tc>
        <w:tc>
          <w:tcPr>
            <w:tcW w:w="2268" w:type="dxa"/>
            <w:vAlign w:val="center"/>
          </w:tcPr>
          <w:p w14:paraId="4D794ADB" w14:textId="77777777" w:rsidR="00CC5D0E" w:rsidRPr="00E12DD2" w:rsidRDefault="00CC5D0E" w:rsidP="00CC5D0E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12DD2">
              <w:rPr>
                <w:b/>
                <w:bCs/>
                <w:color w:val="000000"/>
              </w:rPr>
              <w:t>Thời hạn giải quyết</w:t>
            </w:r>
          </w:p>
        </w:tc>
        <w:tc>
          <w:tcPr>
            <w:tcW w:w="1843" w:type="dxa"/>
            <w:vAlign w:val="center"/>
          </w:tcPr>
          <w:p w14:paraId="4139A0E1" w14:textId="77777777" w:rsidR="00CC5D0E" w:rsidRPr="00E12DD2" w:rsidRDefault="00CC5D0E" w:rsidP="00CC5D0E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12DD2">
              <w:rPr>
                <w:b/>
                <w:bCs/>
                <w:color w:val="000000"/>
              </w:rPr>
              <w:t>Địa điểm thực hiện</w:t>
            </w:r>
          </w:p>
        </w:tc>
        <w:tc>
          <w:tcPr>
            <w:tcW w:w="1858" w:type="dxa"/>
            <w:vAlign w:val="center"/>
          </w:tcPr>
          <w:p w14:paraId="5ADDB21A" w14:textId="77777777" w:rsidR="00CC5D0E" w:rsidRPr="00E12DD2" w:rsidRDefault="00CC5D0E" w:rsidP="00CC5D0E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12DD2">
              <w:rPr>
                <w:b/>
                <w:bCs/>
                <w:color w:val="000000"/>
              </w:rPr>
              <w:t>Phí, lệ phí (nếu có)</w:t>
            </w:r>
          </w:p>
        </w:tc>
        <w:tc>
          <w:tcPr>
            <w:tcW w:w="1016" w:type="dxa"/>
            <w:vAlign w:val="center"/>
          </w:tcPr>
          <w:p w14:paraId="06066B89" w14:textId="77777777" w:rsidR="00CC5D0E" w:rsidRPr="00E12DD2" w:rsidRDefault="00CC5D0E" w:rsidP="00CC5D0E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12DD2">
              <w:rPr>
                <w:b/>
                <w:bCs/>
                <w:color w:val="000000"/>
              </w:rPr>
              <w:t>Mức dịch vụ công trực tuyến</w:t>
            </w:r>
          </w:p>
        </w:tc>
        <w:tc>
          <w:tcPr>
            <w:tcW w:w="2841" w:type="dxa"/>
            <w:vAlign w:val="center"/>
          </w:tcPr>
          <w:p w14:paraId="3F582350" w14:textId="77777777" w:rsidR="00CC5D0E" w:rsidRPr="00E12DD2" w:rsidRDefault="00CC5D0E" w:rsidP="00CC5D0E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12DD2">
              <w:rPr>
                <w:b/>
                <w:bCs/>
                <w:color w:val="000000"/>
              </w:rPr>
              <w:t>Căn cứ pháp lý</w:t>
            </w:r>
          </w:p>
        </w:tc>
      </w:tr>
      <w:tr w:rsidR="00731766" w:rsidRPr="002E7A82" w14:paraId="013C34F7" w14:textId="77777777" w:rsidTr="00EE6D8A">
        <w:trPr>
          <w:trHeight w:val="332"/>
        </w:trPr>
        <w:tc>
          <w:tcPr>
            <w:tcW w:w="742" w:type="dxa"/>
            <w:vAlign w:val="center"/>
          </w:tcPr>
          <w:p w14:paraId="0CAAB81D" w14:textId="77777777" w:rsidR="00BF46EA" w:rsidRPr="00162332" w:rsidRDefault="00BF46EA" w:rsidP="00E315AA">
            <w:pPr>
              <w:spacing w:before="120" w:after="120"/>
              <w:jc w:val="center"/>
              <w:rPr>
                <w:bCs/>
                <w:color w:val="000000"/>
              </w:rPr>
            </w:pPr>
            <w:r w:rsidRPr="00162332">
              <w:rPr>
                <w:bCs/>
                <w:color w:val="000000"/>
              </w:rPr>
              <w:t>1</w:t>
            </w:r>
          </w:p>
        </w:tc>
        <w:tc>
          <w:tcPr>
            <w:tcW w:w="2335" w:type="dxa"/>
            <w:vAlign w:val="center"/>
          </w:tcPr>
          <w:p w14:paraId="0C65DF5E" w14:textId="51D17E04" w:rsidR="00BF46EA" w:rsidRPr="00162332" w:rsidRDefault="00BF46EA" w:rsidP="00BF46EA">
            <w:pPr>
              <w:spacing w:before="120" w:after="120"/>
              <w:jc w:val="both"/>
              <w:rPr>
                <w:bCs/>
                <w:color w:val="000000"/>
              </w:rPr>
            </w:pPr>
            <w:r w:rsidRPr="00162332">
              <w:rPr>
                <w:bCs/>
                <w:color w:val="000000"/>
              </w:rPr>
              <w:t>Cấp giấy chứng nhận kiểm dịch động vật, sản phẩm động vật trên cạn vận chuyển ra khỏi địa bàn cấp tỉnh</w:t>
            </w:r>
          </w:p>
        </w:tc>
        <w:tc>
          <w:tcPr>
            <w:tcW w:w="1650" w:type="dxa"/>
            <w:vAlign w:val="center"/>
          </w:tcPr>
          <w:p w14:paraId="5E5CB237" w14:textId="77777777" w:rsidR="00731766" w:rsidRDefault="00BD18D9" w:rsidP="00731766">
            <w:pPr>
              <w:jc w:val="center"/>
              <w:rPr>
                <w:bCs/>
                <w:color w:val="000000"/>
              </w:rPr>
            </w:pPr>
            <w:r w:rsidRPr="00BD18D9">
              <w:rPr>
                <w:bCs/>
                <w:color w:val="000000"/>
              </w:rPr>
              <w:t>1.002338.</w:t>
            </w:r>
          </w:p>
          <w:p w14:paraId="3B36E0C8" w14:textId="2C8AA806" w:rsidR="00BF46EA" w:rsidRPr="00162332" w:rsidRDefault="00BD18D9" w:rsidP="00731766">
            <w:pPr>
              <w:jc w:val="center"/>
              <w:rPr>
                <w:bCs/>
                <w:color w:val="000000"/>
              </w:rPr>
            </w:pPr>
            <w:r w:rsidRPr="00BD18D9">
              <w:rPr>
                <w:bCs/>
                <w:color w:val="000000"/>
              </w:rPr>
              <w:t>000.00.00.H53</w:t>
            </w:r>
          </w:p>
        </w:tc>
        <w:tc>
          <w:tcPr>
            <w:tcW w:w="802" w:type="dxa"/>
            <w:vAlign w:val="center"/>
          </w:tcPr>
          <w:p w14:paraId="435A2502" w14:textId="659C5766" w:rsidR="00BF46EA" w:rsidRPr="00162332" w:rsidRDefault="00BF46EA" w:rsidP="00BF46EA">
            <w:pPr>
              <w:spacing w:before="120" w:after="120"/>
              <w:jc w:val="center"/>
              <w:rPr>
                <w:bCs/>
                <w:color w:val="000000"/>
              </w:rPr>
            </w:pPr>
            <w:r w:rsidRPr="00162332">
              <w:rPr>
                <w:bCs/>
                <w:color w:val="000000"/>
              </w:rPr>
              <w:t>Thú y</w:t>
            </w:r>
          </w:p>
        </w:tc>
        <w:tc>
          <w:tcPr>
            <w:tcW w:w="2268" w:type="dxa"/>
            <w:vAlign w:val="center"/>
          </w:tcPr>
          <w:p w14:paraId="1A112401" w14:textId="77777777" w:rsidR="00BF46EA" w:rsidRDefault="00731766" w:rsidP="00731766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731766">
              <w:rPr>
                <w:bCs/>
                <w:color w:val="000000"/>
              </w:rPr>
              <w:t>Kiểm dịch động vật vận chuyển ra khỏi địa bàn cấp tỉnh:</w:t>
            </w:r>
          </w:p>
          <w:p w14:paraId="04C71498" w14:textId="7FCD7C21" w:rsidR="00731766" w:rsidRDefault="00731766" w:rsidP="00731766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Pr="00731766">
              <w:rPr>
                <w:bCs/>
                <w:color w:val="000000"/>
              </w:rPr>
              <w:t xml:space="preserve"> Đối với động vật xuất phát từ cơ sở theo quy định tại khoản 1 Điều 37</w:t>
            </w:r>
            <w:r>
              <w:rPr>
                <w:bCs/>
                <w:color w:val="000000"/>
              </w:rPr>
              <w:t xml:space="preserve"> </w:t>
            </w:r>
            <w:r w:rsidRPr="00731766">
              <w:rPr>
                <w:bCs/>
                <w:color w:val="000000"/>
              </w:rPr>
              <w:t>Luật Thú y: 05 ngày làm việc</w:t>
            </w:r>
            <w:r w:rsidR="009777B5">
              <w:rPr>
                <w:bCs/>
                <w:color w:val="000000"/>
              </w:rPr>
              <w:t>.</w:t>
            </w:r>
          </w:p>
          <w:p w14:paraId="526C8575" w14:textId="18CE6036" w:rsidR="00731766" w:rsidRDefault="00731766" w:rsidP="00731766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Pr="00731766">
              <w:rPr>
                <w:bCs/>
                <w:color w:val="000000"/>
              </w:rPr>
              <w:t xml:space="preserve"> Đối với động vật xuất phát từ cơ sở đã được công nhận an toàn dịch</w:t>
            </w:r>
            <w:r>
              <w:rPr>
                <w:bCs/>
                <w:color w:val="000000"/>
              </w:rPr>
              <w:t xml:space="preserve"> </w:t>
            </w:r>
            <w:r w:rsidRPr="00731766">
              <w:rPr>
                <w:bCs/>
                <w:color w:val="000000"/>
              </w:rPr>
              <w:t>bệnh hoặc đã được giám sát không có mầm bệnh hoặc đã được phòng bệnh bằng</w:t>
            </w:r>
            <w:r w:rsidR="009777B5">
              <w:rPr>
                <w:bCs/>
                <w:color w:val="000000"/>
              </w:rPr>
              <w:t xml:space="preserve"> </w:t>
            </w:r>
            <w:r w:rsidRPr="00731766">
              <w:rPr>
                <w:bCs/>
                <w:color w:val="000000"/>
              </w:rPr>
              <w:t xml:space="preserve">vắc xin và còn miễn dịch bảo hộ với các bệnh theo quy định tại Phụ lục </w:t>
            </w:r>
            <w:r w:rsidRPr="00731766">
              <w:rPr>
                <w:bCs/>
                <w:color w:val="000000"/>
              </w:rPr>
              <w:lastRenderedPageBreak/>
              <w:t>XI ban</w:t>
            </w:r>
            <w:r>
              <w:rPr>
                <w:bCs/>
                <w:color w:val="000000"/>
              </w:rPr>
              <w:t xml:space="preserve"> </w:t>
            </w:r>
            <w:r w:rsidRPr="00731766">
              <w:rPr>
                <w:bCs/>
                <w:color w:val="000000"/>
              </w:rPr>
              <w:t>hành kèm theo Thông tư số 25/2016/TT-BNNPTNT (được sửa đổi, bổ</w:t>
            </w:r>
            <w:r>
              <w:rPr>
                <w:bCs/>
                <w:color w:val="000000"/>
              </w:rPr>
              <w:t xml:space="preserve"> </w:t>
            </w:r>
            <w:r w:rsidRPr="00731766">
              <w:rPr>
                <w:bCs/>
                <w:color w:val="000000"/>
              </w:rPr>
              <w:t>sung tại Thông tư số 09/2022/TT-BNNPTNT):</w:t>
            </w:r>
            <w:r>
              <w:rPr>
                <w:bCs/>
                <w:color w:val="000000"/>
              </w:rPr>
              <w:t xml:space="preserve"> 01 ngày làm việc</w:t>
            </w:r>
            <w:r w:rsidR="009777B5">
              <w:rPr>
                <w:bCs/>
                <w:color w:val="000000"/>
              </w:rPr>
              <w:t>.</w:t>
            </w:r>
          </w:p>
          <w:p w14:paraId="25716D88" w14:textId="77777777" w:rsidR="00731766" w:rsidRDefault="00731766" w:rsidP="00731766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731766">
              <w:rPr>
                <w:bCs/>
                <w:color w:val="000000"/>
              </w:rPr>
              <w:t>Kiểm dịch sản phẩm động vật trên cạn vận chuyển ra khỏi địa bàn</w:t>
            </w:r>
            <w:r>
              <w:rPr>
                <w:bCs/>
                <w:color w:val="000000"/>
              </w:rPr>
              <w:t xml:space="preserve"> </w:t>
            </w:r>
            <w:r w:rsidRPr="00731766">
              <w:rPr>
                <w:bCs/>
                <w:color w:val="000000"/>
              </w:rPr>
              <w:t>cấp tỉnh</w:t>
            </w:r>
            <w:r>
              <w:rPr>
                <w:bCs/>
                <w:color w:val="000000"/>
              </w:rPr>
              <w:t>:</w:t>
            </w:r>
          </w:p>
          <w:p w14:paraId="4DB58276" w14:textId="404DC3BF" w:rsidR="00731766" w:rsidRDefault="00731766" w:rsidP="00731766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+ </w:t>
            </w:r>
            <w:r w:rsidRPr="00731766">
              <w:rPr>
                <w:bCs/>
                <w:color w:val="000000"/>
              </w:rPr>
              <w:t>Đối với sản phẩm động vật xuất phát từ cơ sở theo quy định tại khoản 1</w:t>
            </w:r>
            <w:r>
              <w:rPr>
                <w:bCs/>
                <w:color w:val="000000"/>
              </w:rPr>
              <w:t xml:space="preserve"> </w:t>
            </w:r>
            <w:r w:rsidRPr="00731766">
              <w:rPr>
                <w:bCs/>
                <w:color w:val="000000"/>
              </w:rPr>
              <w:t>Điều 37 Luật Thú y:</w:t>
            </w:r>
            <w:r>
              <w:rPr>
                <w:bCs/>
                <w:color w:val="000000"/>
              </w:rPr>
              <w:t xml:space="preserve"> 05 ngày làm việc</w:t>
            </w:r>
            <w:r w:rsidR="009777B5">
              <w:rPr>
                <w:bCs/>
                <w:color w:val="000000"/>
              </w:rPr>
              <w:t>.</w:t>
            </w:r>
          </w:p>
          <w:p w14:paraId="744A9B16" w14:textId="025B3ED9" w:rsidR="00731766" w:rsidRPr="00162332" w:rsidRDefault="00731766" w:rsidP="00731766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Pr="00731766">
              <w:rPr>
                <w:bCs/>
                <w:color w:val="000000"/>
              </w:rPr>
              <w:t xml:space="preserve"> Đối với sản phẩm động vật xuất phát từ cơ sở đã được công nhận an</w:t>
            </w:r>
            <w:r>
              <w:rPr>
                <w:bCs/>
                <w:color w:val="000000"/>
              </w:rPr>
              <w:t xml:space="preserve"> </w:t>
            </w:r>
            <w:r w:rsidRPr="00731766">
              <w:rPr>
                <w:bCs/>
                <w:color w:val="000000"/>
              </w:rPr>
              <w:t>toàn dịch bệnh hoặc đã được giám sát</w:t>
            </w:r>
            <w:r>
              <w:rPr>
                <w:bCs/>
                <w:color w:val="000000"/>
              </w:rPr>
              <w:t xml:space="preserve"> </w:t>
            </w:r>
            <w:r w:rsidRPr="00731766">
              <w:rPr>
                <w:bCs/>
                <w:color w:val="000000"/>
              </w:rPr>
              <w:t>không có mầm bệnh hoặc đã được phòng</w:t>
            </w:r>
            <w:r>
              <w:rPr>
                <w:bCs/>
                <w:color w:val="000000"/>
              </w:rPr>
              <w:t xml:space="preserve"> </w:t>
            </w:r>
            <w:r w:rsidRPr="00731766">
              <w:rPr>
                <w:bCs/>
                <w:color w:val="000000"/>
              </w:rPr>
              <w:t xml:space="preserve">bệnh </w:t>
            </w:r>
            <w:r w:rsidRPr="00731766">
              <w:rPr>
                <w:bCs/>
                <w:color w:val="000000"/>
              </w:rPr>
              <w:lastRenderedPageBreak/>
              <w:t>bằng vắc xin và còn miễn dịch bảo hộ với các bệnh theo quy định tại Phụ</w:t>
            </w:r>
            <w:r>
              <w:rPr>
                <w:bCs/>
                <w:color w:val="000000"/>
              </w:rPr>
              <w:t xml:space="preserve"> </w:t>
            </w:r>
            <w:r w:rsidRPr="00731766">
              <w:rPr>
                <w:bCs/>
                <w:color w:val="000000"/>
              </w:rPr>
              <w:t>lục XI ban hành kèm theo Thông tư số 25/2016/TT-BNNPTNT, từ cơ sở sơ chế,</w:t>
            </w:r>
            <w:r>
              <w:rPr>
                <w:bCs/>
                <w:color w:val="000000"/>
              </w:rPr>
              <w:t xml:space="preserve"> </w:t>
            </w:r>
            <w:r w:rsidRPr="00731766">
              <w:rPr>
                <w:bCs/>
                <w:color w:val="000000"/>
              </w:rPr>
              <w:t>chế biến được định kỳ kiểm tra vệ sinh thú y:</w:t>
            </w:r>
            <w:r>
              <w:rPr>
                <w:bCs/>
                <w:color w:val="000000"/>
              </w:rPr>
              <w:t xml:space="preserve"> 01 ngày làm việc</w:t>
            </w:r>
            <w:r w:rsidR="009777B5">
              <w:rPr>
                <w:bCs/>
                <w:color w:val="000000"/>
              </w:rPr>
              <w:t>.</w:t>
            </w:r>
          </w:p>
        </w:tc>
        <w:tc>
          <w:tcPr>
            <w:tcW w:w="1843" w:type="dxa"/>
          </w:tcPr>
          <w:p w14:paraId="6D2C8144" w14:textId="3FDDF90C" w:rsidR="00BF46EA" w:rsidRPr="00162332" w:rsidRDefault="00BF46EA" w:rsidP="00BF46EA">
            <w:pPr>
              <w:spacing w:before="120" w:after="120"/>
              <w:jc w:val="both"/>
              <w:rPr>
                <w:bCs/>
                <w:color w:val="000000"/>
              </w:rPr>
            </w:pPr>
            <w:r w:rsidRPr="00162332">
              <w:rPr>
                <w:bCs/>
                <w:color w:val="000000"/>
              </w:rPr>
              <w:lastRenderedPageBreak/>
              <w:t>- Cơ quan thực hiện TTHC:</w:t>
            </w:r>
            <w:r w:rsidR="00162332" w:rsidRPr="00162332">
              <w:rPr>
                <w:bCs/>
                <w:color w:val="000000"/>
              </w:rPr>
              <w:t xml:space="preserve"> Chi cục Chăn nuôi và Thú y trực thuộc Sở Nông nghiệp và Phát triển nông thôn</w:t>
            </w:r>
            <w:r w:rsidR="00B16061">
              <w:rPr>
                <w:bCs/>
                <w:color w:val="000000"/>
              </w:rPr>
              <w:t>.</w:t>
            </w:r>
          </w:p>
          <w:p w14:paraId="5F680BA8" w14:textId="41A8277D" w:rsidR="00BF46EA" w:rsidRPr="00162332" w:rsidRDefault="00BF46EA" w:rsidP="00BF46EA">
            <w:pPr>
              <w:spacing w:before="120" w:after="120"/>
              <w:jc w:val="both"/>
              <w:rPr>
                <w:bCs/>
                <w:color w:val="000000"/>
              </w:rPr>
            </w:pPr>
            <w:r w:rsidRPr="00162332">
              <w:rPr>
                <w:bCs/>
                <w:color w:val="000000"/>
              </w:rPr>
              <w:t xml:space="preserve">- Cơ quan có thẩm quyền: </w:t>
            </w:r>
            <w:r w:rsidR="00162332" w:rsidRPr="00162332">
              <w:rPr>
                <w:bCs/>
                <w:color w:val="000000"/>
              </w:rPr>
              <w:t>Chi cục Chăn nuôi và Thú y trực thuộc Sở Nông nghiệp và Phát triển nông thôn</w:t>
            </w:r>
            <w:r w:rsidR="00B16061">
              <w:rPr>
                <w:bCs/>
                <w:color w:val="000000"/>
              </w:rPr>
              <w:t>.</w:t>
            </w:r>
          </w:p>
          <w:p w14:paraId="67104EA3" w14:textId="7BBEBB72" w:rsidR="00BF46EA" w:rsidRPr="00162332" w:rsidRDefault="00BF46EA" w:rsidP="00BF46EA">
            <w:pPr>
              <w:spacing w:before="120" w:after="120"/>
              <w:jc w:val="both"/>
              <w:rPr>
                <w:bCs/>
                <w:color w:val="000000"/>
              </w:rPr>
            </w:pPr>
            <w:r w:rsidRPr="00162332">
              <w:rPr>
                <w:bCs/>
                <w:color w:val="000000"/>
              </w:rPr>
              <w:t xml:space="preserve">- Địa điểm tiếp nhận hồ sơ: </w:t>
            </w:r>
            <w:r w:rsidR="00162332" w:rsidRPr="00162332">
              <w:rPr>
                <w:bCs/>
                <w:color w:val="000000"/>
              </w:rPr>
              <w:t xml:space="preserve">Chi cục Chăn nuôi và Thú y trực thuộc Sở Nông nghiệp và Phát </w:t>
            </w:r>
            <w:r w:rsidR="00162332" w:rsidRPr="00162332">
              <w:rPr>
                <w:bCs/>
                <w:color w:val="000000"/>
              </w:rPr>
              <w:lastRenderedPageBreak/>
              <w:t>triển nông thôn hoặc nộp cho kiểm dịch viên được ủy quyền kiểm dịch xuất tỉnh phân công tại địa bàn 9 huyện, thị xã, thành phố.</w:t>
            </w:r>
          </w:p>
          <w:p w14:paraId="359412E9" w14:textId="6947AC49" w:rsidR="00162332" w:rsidRPr="00162332" w:rsidRDefault="00162332" w:rsidP="00BF46EA">
            <w:pPr>
              <w:spacing w:before="120" w:after="120"/>
              <w:jc w:val="both"/>
              <w:rPr>
                <w:bCs/>
                <w:color w:val="000000"/>
              </w:rPr>
            </w:pPr>
          </w:p>
        </w:tc>
        <w:tc>
          <w:tcPr>
            <w:tcW w:w="1858" w:type="dxa"/>
            <w:vAlign w:val="center"/>
          </w:tcPr>
          <w:p w14:paraId="14F0928F" w14:textId="6470E0CB" w:rsidR="00162332" w:rsidRDefault="00E12DD2" w:rsidP="00E12DD2">
            <w:pPr>
              <w:spacing w:before="120" w:after="120"/>
              <w:jc w:val="both"/>
              <w:rPr>
                <w:bCs/>
                <w:color w:val="000000"/>
              </w:rPr>
            </w:pPr>
            <w:r w:rsidRPr="00E12DD2">
              <w:rPr>
                <w:bCs/>
                <w:color w:val="000000"/>
              </w:rPr>
              <w:lastRenderedPageBreak/>
              <w:t xml:space="preserve">- Phí kiểm dịch động vật, sản phẩm động vật: </w:t>
            </w:r>
            <w:r>
              <w:rPr>
                <w:bCs/>
                <w:color w:val="000000"/>
              </w:rPr>
              <w:t>t</w:t>
            </w:r>
            <w:r w:rsidR="00162332">
              <w:rPr>
                <w:bCs/>
                <w:color w:val="000000"/>
              </w:rPr>
              <w:t xml:space="preserve">hực hiện theo </w:t>
            </w:r>
            <w:r w:rsidR="00162332" w:rsidRPr="00162332">
              <w:rPr>
                <w:bCs/>
                <w:color w:val="000000"/>
              </w:rPr>
              <w:t>Thông tư số 101/2020/TT-BTC ngày 23/11/2020</w:t>
            </w:r>
            <w:r w:rsidR="00162332">
              <w:rPr>
                <w:bCs/>
                <w:color w:val="000000"/>
              </w:rPr>
              <w:t xml:space="preserve"> của Bộ trưởng Bộ Tài chính</w:t>
            </w:r>
            <w:r w:rsidR="00B16061">
              <w:rPr>
                <w:bCs/>
                <w:color w:val="000000"/>
              </w:rPr>
              <w:t>;</w:t>
            </w:r>
          </w:p>
          <w:p w14:paraId="0CA6372F" w14:textId="6E0F64FC" w:rsidR="00E12DD2" w:rsidRPr="00162332" w:rsidRDefault="00E12DD2" w:rsidP="00E12DD2">
            <w:pPr>
              <w:spacing w:before="120" w:after="120"/>
              <w:jc w:val="both"/>
              <w:rPr>
                <w:bCs/>
                <w:color w:val="000000"/>
              </w:rPr>
            </w:pPr>
            <w:r w:rsidRPr="00E12DD2">
              <w:rPr>
                <w:bCs/>
                <w:color w:val="000000"/>
              </w:rPr>
              <w:t xml:space="preserve">- Chi phí khác: </w:t>
            </w:r>
            <w:r>
              <w:rPr>
                <w:bCs/>
                <w:color w:val="000000"/>
              </w:rPr>
              <w:t xml:space="preserve">thực hiện theo </w:t>
            </w:r>
            <w:r w:rsidRPr="00E12DD2">
              <w:rPr>
                <w:bCs/>
                <w:color w:val="000000"/>
              </w:rPr>
              <w:t>Thông tư số</w:t>
            </w:r>
            <w:r>
              <w:rPr>
                <w:bCs/>
                <w:color w:val="000000"/>
              </w:rPr>
              <w:t xml:space="preserve"> </w:t>
            </w:r>
            <w:r w:rsidRPr="00E12DD2">
              <w:rPr>
                <w:bCs/>
                <w:color w:val="000000"/>
              </w:rPr>
              <w:t>283/2016/TT-BTC ngày 14/11/2016 của Bộ trưởng Bộ Tài chính</w:t>
            </w:r>
            <w:r w:rsidR="00B16061">
              <w:rPr>
                <w:bCs/>
                <w:color w:val="000000"/>
              </w:rPr>
              <w:t>.</w:t>
            </w:r>
          </w:p>
        </w:tc>
        <w:tc>
          <w:tcPr>
            <w:tcW w:w="1016" w:type="dxa"/>
            <w:vAlign w:val="center"/>
          </w:tcPr>
          <w:p w14:paraId="5F9FC4F0" w14:textId="75EF5EB6" w:rsidR="00BF46EA" w:rsidRPr="00162332" w:rsidRDefault="00BF46EA" w:rsidP="00BF46EA">
            <w:pPr>
              <w:spacing w:before="120" w:after="120"/>
              <w:jc w:val="center"/>
              <w:rPr>
                <w:bCs/>
                <w:color w:val="000000"/>
              </w:rPr>
            </w:pPr>
            <w:r w:rsidRPr="00162332">
              <w:rPr>
                <w:bCs/>
                <w:color w:val="000000"/>
              </w:rPr>
              <w:t>DVCTT một phần</w:t>
            </w:r>
          </w:p>
        </w:tc>
        <w:tc>
          <w:tcPr>
            <w:tcW w:w="2841" w:type="dxa"/>
            <w:vAlign w:val="center"/>
          </w:tcPr>
          <w:p w14:paraId="77662F6C" w14:textId="3F476DE8" w:rsidR="00BD18D9" w:rsidRPr="00BD18D9" w:rsidRDefault="00BD18D9" w:rsidP="00BD18D9">
            <w:pPr>
              <w:spacing w:before="120" w:after="120"/>
              <w:jc w:val="both"/>
              <w:rPr>
                <w:bCs/>
                <w:color w:val="000000"/>
              </w:rPr>
            </w:pPr>
            <w:r w:rsidRPr="00BD18D9">
              <w:rPr>
                <w:bCs/>
                <w:color w:val="000000"/>
              </w:rPr>
              <w:t>- Luật Thú y</w:t>
            </w:r>
            <w:r>
              <w:rPr>
                <w:bCs/>
                <w:color w:val="000000"/>
              </w:rPr>
              <w:t xml:space="preserve"> năm 2015</w:t>
            </w:r>
            <w:r w:rsidRPr="00BD18D9">
              <w:rPr>
                <w:bCs/>
                <w:color w:val="000000"/>
              </w:rPr>
              <w:t xml:space="preserve">; </w:t>
            </w:r>
          </w:p>
          <w:p w14:paraId="26363B18" w14:textId="7B26220D" w:rsidR="00BD18D9" w:rsidRDefault="00BD18D9" w:rsidP="00BD18D9">
            <w:pPr>
              <w:spacing w:before="120" w:after="120"/>
              <w:jc w:val="both"/>
              <w:rPr>
                <w:bCs/>
                <w:color w:val="000000"/>
              </w:rPr>
            </w:pPr>
            <w:r w:rsidRPr="00BD18D9">
              <w:rPr>
                <w:bCs/>
                <w:color w:val="000000"/>
              </w:rPr>
              <w:t xml:space="preserve">- Thông tư số 25/2016/TT-NNPTNT ngày 30/6/2016 của </w:t>
            </w:r>
            <w:r>
              <w:rPr>
                <w:bCs/>
                <w:color w:val="000000"/>
              </w:rPr>
              <w:t xml:space="preserve">Bộ trưởng </w:t>
            </w:r>
            <w:r w:rsidRPr="00BD18D9">
              <w:rPr>
                <w:bCs/>
                <w:color w:val="000000"/>
              </w:rPr>
              <w:t>Bộ Nông nghiệp và Phát triển nông thôn</w:t>
            </w:r>
            <w:r>
              <w:rPr>
                <w:bCs/>
                <w:color w:val="000000"/>
              </w:rPr>
              <w:t>;</w:t>
            </w:r>
          </w:p>
          <w:p w14:paraId="2F161605" w14:textId="01A88AE9" w:rsidR="00731766" w:rsidRDefault="00731766" w:rsidP="00731766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731766">
              <w:rPr>
                <w:bCs/>
                <w:color w:val="000000"/>
              </w:rPr>
              <w:t>Thông tư số 283/2016/TT-BTC ngày 14/11/2016 của Bộ trưởng Bộ Tài</w:t>
            </w:r>
            <w:r>
              <w:rPr>
                <w:bCs/>
                <w:color w:val="000000"/>
              </w:rPr>
              <w:t xml:space="preserve"> </w:t>
            </w:r>
            <w:r w:rsidRPr="00731766">
              <w:rPr>
                <w:bCs/>
                <w:color w:val="000000"/>
              </w:rPr>
              <w:t>chính</w:t>
            </w:r>
            <w:r>
              <w:rPr>
                <w:bCs/>
                <w:color w:val="000000"/>
              </w:rPr>
              <w:t>;</w:t>
            </w:r>
          </w:p>
          <w:p w14:paraId="27464CD7" w14:textId="39E5BC99" w:rsidR="00731766" w:rsidRPr="00BD18D9" w:rsidRDefault="00731766" w:rsidP="00731766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731766">
              <w:rPr>
                <w:bCs/>
                <w:color w:val="000000"/>
              </w:rPr>
              <w:t>Thông tư số 35/2018/TT-BNNPTNT ngày 25/12/2018 của Bộ trưởng Bộ</w:t>
            </w:r>
            <w:r>
              <w:rPr>
                <w:bCs/>
                <w:color w:val="000000"/>
              </w:rPr>
              <w:t xml:space="preserve"> </w:t>
            </w:r>
            <w:r w:rsidRPr="00731766">
              <w:rPr>
                <w:bCs/>
                <w:color w:val="000000"/>
              </w:rPr>
              <w:t xml:space="preserve">Nông nghiệp và </w:t>
            </w:r>
            <w:r>
              <w:rPr>
                <w:bCs/>
                <w:color w:val="000000"/>
              </w:rPr>
              <w:t>PTNT;</w:t>
            </w:r>
          </w:p>
          <w:p w14:paraId="1F9FF942" w14:textId="15B342AD" w:rsidR="00BD18D9" w:rsidRDefault="00BD18D9" w:rsidP="00BD18D9">
            <w:pPr>
              <w:spacing w:before="120" w:after="120"/>
              <w:jc w:val="both"/>
              <w:rPr>
                <w:bCs/>
                <w:color w:val="000000"/>
              </w:rPr>
            </w:pPr>
            <w:r w:rsidRPr="00BD18D9">
              <w:rPr>
                <w:bCs/>
                <w:color w:val="000000"/>
              </w:rPr>
              <w:t xml:space="preserve">- Thông tư số 101/2020/TT-BTC ngày 23/11/2020 của </w:t>
            </w:r>
            <w:r>
              <w:rPr>
                <w:bCs/>
                <w:color w:val="000000"/>
              </w:rPr>
              <w:t xml:space="preserve">Bộ trưởng </w:t>
            </w:r>
            <w:r w:rsidRPr="00BD18D9">
              <w:rPr>
                <w:bCs/>
                <w:color w:val="000000"/>
              </w:rPr>
              <w:t>Bộ Tài chính</w:t>
            </w:r>
            <w:r>
              <w:rPr>
                <w:bCs/>
                <w:color w:val="000000"/>
              </w:rPr>
              <w:t>;</w:t>
            </w:r>
          </w:p>
          <w:p w14:paraId="1627E389" w14:textId="3D811D03" w:rsidR="00731766" w:rsidRPr="00BD18D9" w:rsidRDefault="00731766" w:rsidP="00731766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- </w:t>
            </w:r>
            <w:r w:rsidRPr="00731766">
              <w:rPr>
                <w:bCs/>
                <w:color w:val="000000"/>
              </w:rPr>
              <w:t>Thông tư số 09/2022/TT-BNNPTNT ngày 19/8/2022 của Bộ trưởng Bộ</w:t>
            </w:r>
            <w:r>
              <w:rPr>
                <w:bCs/>
                <w:color w:val="000000"/>
              </w:rPr>
              <w:t xml:space="preserve"> </w:t>
            </w:r>
            <w:r w:rsidRPr="00731766">
              <w:rPr>
                <w:bCs/>
                <w:color w:val="000000"/>
              </w:rPr>
              <w:t xml:space="preserve">Nông nghiệp và </w:t>
            </w:r>
            <w:r>
              <w:rPr>
                <w:bCs/>
                <w:color w:val="000000"/>
              </w:rPr>
              <w:t>PTNT;</w:t>
            </w:r>
          </w:p>
          <w:p w14:paraId="0F53143E" w14:textId="1D42E2D2" w:rsidR="00BF46EA" w:rsidRPr="00162332" w:rsidRDefault="00BD18D9" w:rsidP="00162332">
            <w:pPr>
              <w:spacing w:before="120" w:after="120"/>
              <w:jc w:val="both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 w:rsidR="00BF46EA" w:rsidRPr="00162332">
              <w:rPr>
                <w:bCs/>
                <w:i/>
                <w:iCs/>
                <w:color w:val="000000"/>
              </w:rPr>
              <w:t>Thông tư 04/2024/TT-BNNPTNT</w:t>
            </w:r>
            <w:r>
              <w:rPr>
                <w:bCs/>
                <w:i/>
                <w:iCs/>
                <w:color w:val="000000"/>
              </w:rPr>
              <w:t xml:space="preserve"> </w:t>
            </w:r>
            <w:r w:rsidR="00BF46EA" w:rsidRPr="00162332">
              <w:rPr>
                <w:bCs/>
                <w:i/>
                <w:iCs/>
                <w:color w:val="000000"/>
              </w:rPr>
              <w:t>ngày</w:t>
            </w:r>
            <w:r>
              <w:rPr>
                <w:bCs/>
                <w:i/>
                <w:iCs/>
                <w:color w:val="000000"/>
              </w:rPr>
              <w:t xml:space="preserve"> </w:t>
            </w:r>
            <w:r w:rsidR="00BF46EA" w:rsidRPr="00162332">
              <w:rPr>
                <w:bCs/>
                <w:i/>
                <w:iCs/>
                <w:color w:val="000000"/>
              </w:rPr>
              <w:t xml:space="preserve">01/4/2024 </w:t>
            </w:r>
            <w:r w:rsidRPr="00BD18D9">
              <w:rPr>
                <w:bCs/>
                <w:i/>
                <w:iCs/>
                <w:color w:val="000000"/>
              </w:rPr>
              <w:t>của Bộ trưởng Bộ Nông nghiệp và Phát triển nông thôn</w:t>
            </w:r>
            <w:r w:rsidR="00731766">
              <w:rPr>
                <w:bCs/>
                <w:i/>
                <w:iCs/>
                <w:color w:val="000000"/>
              </w:rPr>
              <w:t>.</w:t>
            </w:r>
          </w:p>
        </w:tc>
      </w:tr>
    </w:tbl>
    <w:bookmarkEnd w:id="0"/>
    <w:p w14:paraId="679CBACF" w14:textId="77777777" w:rsidR="002A1BC8" w:rsidRDefault="002A1BC8" w:rsidP="00973D4A">
      <w:pPr>
        <w:spacing w:before="120" w:after="120"/>
        <w:jc w:val="both"/>
        <w:rPr>
          <w:b/>
          <w:bCs/>
          <w:color w:val="000000"/>
          <w:sz w:val="28"/>
          <w:szCs w:val="28"/>
        </w:rPr>
      </w:pPr>
      <w:r w:rsidRPr="00E67E55">
        <w:rPr>
          <w:b/>
          <w:bCs/>
          <w:color w:val="000000"/>
          <w:sz w:val="28"/>
          <w:szCs w:val="28"/>
        </w:rPr>
        <w:lastRenderedPageBreak/>
        <w:t>B. THỦ TỤC HÀNH CHÍNH CẤP HUYỆN</w:t>
      </w:r>
    </w:p>
    <w:p w14:paraId="7988A903" w14:textId="3B6CC85E" w:rsidR="008D0E8E" w:rsidRPr="008D0E8E" w:rsidRDefault="008D0E8E" w:rsidP="00973D4A">
      <w:pPr>
        <w:spacing w:before="120" w:after="120"/>
        <w:jc w:val="both"/>
        <w:rPr>
          <w:color w:val="000000"/>
          <w:sz w:val="28"/>
          <w:szCs w:val="28"/>
        </w:rPr>
      </w:pPr>
      <w:r w:rsidRPr="008D0E8E">
        <w:rPr>
          <w:color w:val="000000"/>
          <w:sz w:val="28"/>
          <w:szCs w:val="28"/>
        </w:rPr>
        <w:t>Không có.</w:t>
      </w:r>
    </w:p>
    <w:p w14:paraId="02B77936" w14:textId="77777777" w:rsidR="002A1BC8" w:rsidRDefault="002A1BC8" w:rsidP="00BD18D9">
      <w:pPr>
        <w:spacing w:before="120" w:after="120"/>
        <w:jc w:val="both"/>
        <w:rPr>
          <w:b/>
          <w:bCs/>
          <w:color w:val="000000"/>
          <w:sz w:val="28"/>
          <w:szCs w:val="28"/>
        </w:rPr>
      </w:pPr>
      <w:r w:rsidRPr="00E67E55">
        <w:rPr>
          <w:b/>
          <w:bCs/>
          <w:color w:val="000000"/>
          <w:sz w:val="28"/>
          <w:szCs w:val="28"/>
        </w:rPr>
        <w:t>C. THỦ TỤC HÀNH CHÍNH CẤP XÃ</w:t>
      </w:r>
    </w:p>
    <w:p w14:paraId="7759A2BE" w14:textId="621A6AFD" w:rsidR="00BD18D9" w:rsidRPr="00614DF8" w:rsidRDefault="00BD18D9" w:rsidP="00BD18D9">
      <w:pPr>
        <w:spacing w:before="120" w:after="120"/>
        <w:jc w:val="both"/>
        <w:rPr>
          <w:color w:val="000000"/>
          <w:sz w:val="28"/>
          <w:szCs w:val="28"/>
        </w:rPr>
      </w:pPr>
      <w:r w:rsidRPr="00614DF8">
        <w:rPr>
          <w:color w:val="000000"/>
          <w:sz w:val="28"/>
          <w:szCs w:val="28"/>
        </w:rPr>
        <w:t>Không có</w:t>
      </w:r>
      <w:r w:rsidR="00A435C1">
        <w:rPr>
          <w:color w:val="000000"/>
          <w:sz w:val="28"/>
          <w:szCs w:val="28"/>
        </w:rPr>
        <w:t>.</w:t>
      </w:r>
    </w:p>
    <w:sectPr w:rsidR="00BD18D9" w:rsidRPr="00614DF8" w:rsidSect="00666CE4">
      <w:headerReference w:type="even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EB75" w14:textId="77777777" w:rsidR="005639D7" w:rsidRDefault="005639D7" w:rsidP="002A1BC8">
      <w:r>
        <w:separator/>
      </w:r>
    </w:p>
  </w:endnote>
  <w:endnote w:type="continuationSeparator" w:id="0">
    <w:p w14:paraId="58F13661" w14:textId="77777777" w:rsidR="005639D7" w:rsidRDefault="005639D7" w:rsidP="002A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0F14" w14:textId="77777777" w:rsidR="00C20CEC" w:rsidRDefault="00C20CEC" w:rsidP="00ED35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7A67" w14:textId="77777777" w:rsidR="00C20CEC" w:rsidRPr="003576C5" w:rsidRDefault="00C20CEC" w:rsidP="00ED35DE">
    <w:pPr>
      <w:pStyle w:val="Footer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AA3D" w14:textId="77777777" w:rsidR="005639D7" w:rsidRDefault="005639D7" w:rsidP="002A1BC8">
      <w:r>
        <w:separator/>
      </w:r>
    </w:p>
  </w:footnote>
  <w:footnote w:type="continuationSeparator" w:id="0">
    <w:p w14:paraId="73DE9C04" w14:textId="77777777" w:rsidR="005639D7" w:rsidRDefault="005639D7" w:rsidP="002A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6B01" w14:textId="77777777" w:rsidR="00C20CEC" w:rsidRDefault="005E4B06">
    <w:pPr>
      <w:pStyle w:val="Header"/>
      <w:jc w:val="center"/>
    </w:pPr>
    <w:r>
      <w:fldChar w:fldCharType="begin"/>
    </w:r>
    <w:r w:rsidR="006D39A2">
      <w:instrText xml:space="preserve"> PAGE   \* MERGEFORMAT </w:instrText>
    </w:r>
    <w:r>
      <w:fldChar w:fldCharType="separate"/>
    </w:r>
    <w:r w:rsidR="006D39A2">
      <w:rPr>
        <w:noProof/>
      </w:rPr>
      <w:t>2</w:t>
    </w:r>
    <w:r>
      <w:fldChar w:fldCharType="end"/>
    </w:r>
  </w:p>
  <w:p w14:paraId="6103BB4F" w14:textId="77777777" w:rsidR="00C20CEC" w:rsidRDefault="00C20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8A56" w14:textId="77777777" w:rsidR="00C20CEC" w:rsidRDefault="00C20CEC">
    <w:pPr>
      <w:pStyle w:val="Header"/>
      <w:jc w:val="center"/>
    </w:pPr>
  </w:p>
  <w:p w14:paraId="7CCDFAA7" w14:textId="77777777" w:rsidR="00C20CEC" w:rsidRDefault="00C20C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C8"/>
    <w:rsid w:val="00001450"/>
    <w:rsid w:val="00162332"/>
    <w:rsid w:val="001D0506"/>
    <w:rsid w:val="00242A4F"/>
    <w:rsid w:val="002A1BC8"/>
    <w:rsid w:val="003926A3"/>
    <w:rsid w:val="003E70E0"/>
    <w:rsid w:val="004F175C"/>
    <w:rsid w:val="005639D7"/>
    <w:rsid w:val="00570FD9"/>
    <w:rsid w:val="005E4B06"/>
    <w:rsid w:val="006103E0"/>
    <w:rsid w:val="00614BA9"/>
    <w:rsid w:val="00614DF8"/>
    <w:rsid w:val="006179F9"/>
    <w:rsid w:val="00666CE4"/>
    <w:rsid w:val="00697F4D"/>
    <w:rsid w:val="006D39A2"/>
    <w:rsid w:val="00731766"/>
    <w:rsid w:val="0075130F"/>
    <w:rsid w:val="00783685"/>
    <w:rsid w:val="0078640D"/>
    <w:rsid w:val="007A6B2C"/>
    <w:rsid w:val="007D0B14"/>
    <w:rsid w:val="00835002"/>
    <w:rsid w:val="008D0E8E"/>
    <w:rsid w:val="0095056B"/>
    <w:rsid w:val="00973D4A"/>
    <w:rsid w:val="009777B5"/>
    <w:rsid w:val="009B685A"/>
    <w:rsid w:val="009D1BD0"/>
    <w:rsid w:val="009F19D7"/>
    <w:rsid w:val="00A10BD1"/>
    <w:rsid w:val="00A435C1"/>
    <w:rsid w:val="00A97DDF"/>
    <w:rsid w:val="00B16061"/>
    <w:rsid w:val="00B92AD8"/>
    <w:rsid w:val="00BA7842"/>
    <w:rsid w:val="00BD18D9"/>
    <w:rsid w:val="00BD34CF"/>
    <w:rsid w:val="00BE562E"/>
    <w:rsid w:val="00BF46EA"/>
    <w:rsid w:val="00C20CEC"/>
    <w:rsid w:val="00CC5D0E"/>
    <w:rsid w:val="00D5622D"/>
    <w:rsid w:val="00E12DD2"/>
    <w:rsid w:val="00E315AA"/>
    <w:rsid w:val="00E67E55"/>
    <w:rsid w:val="00E72D52"/>
    <w:rsid w:val="00EE6D8A"/>
    <w:rsid w:val="00F941DC"/>
    <w:rsid w:val="00FA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4D6B"/>
  <w15:docId w15:val="{FFB7B5BA-68F9-4C93-A9CB-C6B6E203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BC8"/>
    <w:pPr>
      <w:spacing w:after="0" w:line="240" w:lineRule="auto"/>
    </w:pPr>
    <w:rPr>
      <w:rFonts w:eastAsia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A1BC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A1BC8"/>
    <w:rPr>
      <w:rFonts w:eastAsia="Times New Roman" w:cs="Times New Roman"/>
      <w:kern w:val="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1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BC8"/>
    <w:rPr>
      <w:rFonts w:eastAsia="Times New Roman" w:cs="Times New Roman"/>
      <w:kern w:val="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A1B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1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BC8"/>
    <w:rPr>
      <w:rFonts w:eastAsia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4177-AE0A-443A-BE69-B3C35EF9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Mộc Nguyễn Khắc</dc:creator>
  <cp:lastModifiedBy>Tuan Nguyen Anh</cp:lastModifiedBy>
  <cp:revision>16</cp:revision>
  <dcterms:created xsi:type="dcterms:W3CDTF">2024-05-03T03:51:00Z</dcterms:created>
  <dcterms:modified xsi:type="dcterms:W3CDTF">2024-05-03T09:56:00Z</dcterms:modified>
</cp:coreProperties>
</file>